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005"/>
        <w:gridCol w:w="3005"/>
        <w:gridCol w:w="3006"/>
      </w:tblGrid>
      <w:tr w:rsidR="008552AE" w14:paraId="6C3AA314" w14:textId="77777777" w:rsidTr="008552AE">
        <w:tc>
          <w:tcPr>
            <w:tcW w:w="3005" w:type="dxa"/>
          </w:tcPr>
          <w:p w14:paraId="31CA2D45" w14:textId="15E4AD62" w:rsidR="008552AE" w:rsidRDefault="008552AE">
            <w:r>
              <w:t>Sector</w:t>
            </w:r>
          </w:p>
        </w:tc>
        <w:tc>
          <w:tcPr>
            <w:tcW w:w="3005" w:type="dxa"/>
          </w:tcPr>
          <w:p w14:paraId="343774A0" w14:textId="362F97C1" w:rsidR="008552AE" w:rsidRDefault="008552AE">
            <w:r>
              <w:t>Issues</w:t>
            </w:r>
          </w:p>
        </w:tc>
        <w:tc>
          <w:tcPr>
            <w:tcW w:w="3006" w:type="dxa"/>
          </w:tcPr>
          <w:p w14:paraId="4E81FFAE" w14:textId="12BD1877" w:rsidR="008552AE" w:rsidRDefault="008552AE">
            <w:r>
              <w:t>Recommendations</w:t>
            </w:r>
          </w:p>
        </w:tc>
      </w:tr>
      <w:tr w:rsidR="008552AE" w14:paraId="5FCED409" w14:textId="77777777" w:rsidTr="008552AE">
        <w:tc>
          <w:tcPr>
            <w:tcW w:w="3005" w:type="dxa"/>
          </w:tcPr>
          <w:p w14:paraId="208F338C" w14:textId="60C0732A" w:rsidR="008552AE" w:rsidRDefault="008552AE">
            <w:r>
              <w:t>Health</w:t>
            </w:r>
          </w:p>
        </w:tc>
        <w:tc>
          <w:tcPr>
            <w:tcW w:w="3005" w:type="dxa"/>
          </w:tcPr>
          <w:p w14:paraId="30B95050" w14:textId="0B7448DA" w:rsidR="008552AE" w:rsidRDefault="008552AE">
            <w:r>
              <w:t>The Essential Care Package should include services for GBV and SRHR</w:t>
            </w:r>
          </w:p>
        </w:tc>
        <w:tc>
          <w:tcPr>
            <w:tcW w:w="3006" w:type="dxa"/>
          </w:tcPr>
          <w:p w14:paraId="41CBD0FE" w14:textId="77777777" w:rsidR="00C702AE" w:rsidRDefault="008552AE" w:rsidP="00C702AE">
            <w:pPr>
              <w:pStyle w:val="ListParagraph"/>
              <w:numPr>
                <w:ilvl w:val="0"/>
                <w:numId w:val="1"/>
              </w:numPr>
              <w:jc w:val="both"/>
            </w:pPr>
            <w:r>
              <w:t>The Essential Care Package should include</w:t>
            </w:r>
            <w:r w:rsidR="004F4F40">
              <w:t xml:space="preserve"> budgeted  </w:t>
            </w:r>
            <w:r>
              <w:t xml:space="preserve"> services for GBV</w:t>
            </w:r>
            <w:r w:rsidR="004F4F40">
              <w:t>,</w:t>
            </w:r>
            <w:r>
              <w:t xml:space="preserve"> SRHR</w:t>
            </w:r>
            <w:r w:rsidR="004F4F40">
              <w:t xml:space="preserve"> and Palliative care at the community level to ensure that the intended hub and spoke in UHC works.</w:t>
            </w:r>
          </w:p>
          <w:p w14:paraId="0B10DD3C" w14:textId="4409687F" w:rsidR="008443FD" w:rsidRDefault="008443FD" w:rsidP="00C702AE">
            <w:pPr>
              <w:pStyle w:val="ListParagraph"/>
              <w:numPr>
                <w:ilvl w:val="0"/>
                <w:numId w:val="1"/>
              </w:numPr>
              <w:jc w:val="both"/>
            </w:pPr>
            <w:r>
              <w:t>The projects to address GBV i.e. shelters and gender based violence units needs to be budgeted for and both recurrent and development expenditure included.</w:t>
            </w:r>
          </w:p>
          <w:p w14:paraId="0C4CF505" w14:textId="77777777" w:rsidR="008443FD" w:rsidRDefault="008443FD" w:rsidP="00C702AE">
            <w:pPr>
              <w:pStyle w:val="ListParagraph"/>
              <w:numPr>
                <w:ilvl w:val="0"/>
                <w:numId w:val="1"/>
              </w:numPr>
              <w:jc w:val="both"/>
            </w:pPr>
            <w:r>
              <w:t>Training for the teams handling SGBV in the health facilities and linkages to the referral pathways needs to engaged on.</w:t>
            </w:r>
          </w:p>
          <w:p w14:paraId="47054896" w14:textId="77777777" w:rsidR="008443FD" w:rsidRDefault="008443FD" w:rsidP="00C702AE">
            <w:pPr>
              <w:pStyle w:val="ListParagraph"/>
              <w:numPr>
                <w:ilvl w:val="0"/>
                <w:numId w:val="1"/>
              </w:numPr>
              <w:jc w:val="both"/>
            </w:pPr>
            <w:r>
              <w:t>The development of shelters is critical.</w:t>
            </w:r>
          </w:p>
          <w:p w14:paraId="504AC75B" w14:textId="10EE56BD" w:rsidR="00375873" w:rsidRDefault="00375873" w:rsidP="00C702AE">
            <w:pPr>
              <w:pStyle w:val="ListParagraph"/>
              <w:numPr>
                <w:ilvl w:val="0"/>
                <w:numId w:val="1"/>
              </w:numPr>
              <w:jc w:val="both"/>
            </w:pPr>
            <w:r>
              <w:t>Engage with the proposed gender policy in draft form to ensure a gender analysis of the CIDP.</w:t>
            </w:r>
          </w:p>
        </w:tc>
      </w:tr>
      <w:tr w:rsidR="008552AE" w14:paraId="3C1B5540" w14:textId="77777777" w:rsidTr="008552AE">
        <w:tc>
          <w:tcPr>
            <w:tcW w:w="3005" w:type="dxa"/>
          </w:tcPr>
          <w:p w14:paraId="1CA93F47" w14:textId="1CCA74B3" w:rsidR="008552AE" w:rsidRDefault="008552AE">
            <w:r>
              <w:t>Agriculture</w:t>
            </w:r>
          </w:p>
        </w:tc>
        <w:tc>
          <w:tcPr>
            <w:tcW w:w="3005" w:type="dxa"/>
          </w:tcPr>
          <w:p w14:paraId="23ED50C0" w14:textId="38E4EC68" w:rsidR="008552AE" w:rsidRDefault="004F4F40">
            <w:r>
              <w:t xml:space="preserve">The areas of economic empowerment for women in the department of Agriculture, Livestock, </w:t>
            </w:r>
          </w:p>
        </w:tc>
        <w:tc>
          <w:tcPr>
            <w:tcW w:w="3006" w:type="dxa"/>
          </w:tcPr>
          <w:p w14:paraId="5F9B0E61" w14:textId="77777777" w:rsidR="008552AE" w:rsidRDefault="004F4F40" w:rsidP="004F4F40">
            <w:pPr>
              <w:pStyle w:val="ListParagraph"/>
              <w:numPr>
                <w:ilvl w:val="0"/>
                <w:numId w:val="1"/>
              </w:numPr>
              <w:jc w:val="both"/>
            </w:pPr>
            <w:r>
              <w:t xml:space="preserve">There should be investment in the recurrent and development expenditure </w:t>
            </w:r>
          </w:p>
          <w:p w14:paraId="4DB36183" w14:textId="77777777" w:rsidR="004F4F40" w:rsidRPr="004F4F40" w:rsidRDefault="004F4F40" w:rsidP="004F4F40">
            <w:pPr>
              <w:pStyle w:val="ListParagraph"/>
              <w:numPr>
                <w:ilvl w:val="0"/>
                <w:numId w:val="1"/>
              </w:numPr>
              <w:jc w:val="both"/>
            </w:pPr>
            <w:r w:rsidRPr="004F4F40">
              <w:t>Cooperative development e.g. getting women involved in cassava production that Kisumu County is already doing.</w:t>
            </w:r>
          </w:p>
          <w:p w14:paraId="75B0C04B" w14:textId="77777777" w:rsidR="004F4F40" w:rsidRPr="004F4F40" w:rsidRDefault="004F4F40" w:rsidP="004F4F40">
            <w:pPr>
              <w:pStyle w:val="ListParagraph"/>
              <w:numPr>
                <w:ilvl w:val="0"/>
                <w:numId w:val="1"/>
              </w:numPr>
              <w:jc w:val="both"/>
            </w:pPr>
            <w:r w:rsidRPr="004F4F40">
              <w:t>Investing cottage industries with groups to capacitate groups in various agricultural systems.</w:t>
            </w:r>
          </w:p>
          <w:p w14:paraId="18CDF80E" w14:textId="77777777" w:rsidR="004F4F40" w:rsidRPr="004F4F40" w:rsidRDefault="004F4F40" w:rsidP="004F4F40">
            <w:pPr>
              <w:pStyle w:val="ListParagraph"/>
              <w:numPr>
                <w:ilvl w:val="0"/>
                <w:numId w:val="1"/>
              </w:numPr>
              <w:jc w:val="both"/>
            </w:pPr>
            <w:r w:rsidRPr="004F4F40">
              <w:t>Implementation of policies frameworks to ensure sustainable engendered agricultural systems are implemented.</w:t>
            </w:r>
          </w:p>
          <w:p w14:paraId="6FE53E38" w14:textId="77777777" w:rsidR="004F4F40" w:rsidRDefault="004F4F40" w:rsidP="004F4F40">
            <w:pPr>
              <w:pStyle w:val="ListParagraph"/>
              <w:numPr>
                <w:ilvl w:val="0"/>
                <w:numId w:val="1"/>
              </w:numPr>
              <w:jc w:val="both"/>
            </w:pPr>
            <w:r w:rsidRPr="004F4F40">
              <w:t xml:space="preserve">The investment done in this area must be citizen centric and ensure that it is enshrined in the tenets of the COK2010. The spirit of </w:t>
            </w:r>
            <w:r w:rsidRPr="004F4F40">
              <w:lastRenderedPageBreak/>
              <w:t>devolution is being clawed back. Kisumu must be awoke to this and ensure protection of the gains in the COK2010.</w:t>
            </w:r>
          </w:p>
          <w:p w14:paraId="623F93F0" w14:textId="4890D3B1" w:rsidR="00375873" w:rsidRDefault="00375873" w:rsidP="004F4F40">
            <w:pPr>
              <w:pStyle w:val="ListParagraph"/>
              <w:numPr>
                <w:ilvl w:val="0"/>
                <w:numId w:val="1"/>
              </w:numPr>
              <w:jc w:val="both"/>
            </w:pPr>
            <w:r>
              <w:t>Engage with the proposed gender policy in draft form to ensure a gender analysis of the CIDP.</w:t>
            </w:r>
          </w:p>
        </w:tc>
      </w:tr>
      <w:tr w:rsidR="008552AE" w14:paraId="6B82D730" w14:textId="77777777" w:rsidTr="008552AE">
        <w:tc>
          <w:tcPr>
            <w:tcW w:w="3005" w:type="dxa"/>
          </w:tcPr>
          <w:p w14:paraId="7FA243C6" w14:textId="01EB31F1" w:rsidR="008552AE" w:rsidRDefault="008552AE">
            <w:r>
              <w:lastRenderedPageBreak/>
              <w:t>Roads</w:t>
            </w:r>
          </w:p>
        </w:tc>
        <w:tc>
          <w:tcPr>
            <w:tcW w:w="3005" w:type="dxa"/>
          </w:tcPr>
          <w:p w14:paraId="0F0F06BB" w14:textId="574904A8" w:rsidR="008552AE" w:rsidRDefault="00C702AE">
            <w:r>
              <w:t xml:space="preserve">The roads should be designed following the gendered needs of road users. </w:t>
            </w:r>
          </w:p>
        </w:tc>
        <w:tc>
          <w:tcPr>
            <w:tcW w:w="3006" w:type="dxa"/>
          </w:tcPr>
          <w:p w14:paraId="5029D790" w14:textId="77777777" w:rsidR="008552AE" w:rsidRDefault="008443FD" w:rsidP="00375873">
            <w:pPr>
              <w:pStyle w:val="ListParagraph"/>
              <w:numPr>
                <w:ilvl w:val="0"/>
                <w:numId w:val="4"/>
              </w:numPr>
              <w:jc w:val="both"/>
            </w:pPr>
            <w:r>
              <w:t>The roads to markets for example should be cognizant of the gender, disability and diversity needs explicitly included.</w:t>
            </w:r>
          </w:p>
          <w:p w14:paraId="4E81FAE4" w14:textId="703F8301" w:rsidR="00375873" w:rsidRDefault="00375873" w:rsidP="00375873">
            <w:pPr>
              <w:pStyle w:val="ListParagraph"/>
              <w:numPr>
                <w:ilvl w:val="0"/>
                <w:numId w:val="4"/>
              </w:numPr>
              <w:jc w:val="both"/>
            </w:pPr>
            <w:r>
              <w:t>Engage with the proposed gender policy in draft form to ensure a gender analysis of the CIDP.</w:t>
            </w:r>
          </w:p>
        </w:tc>
      </w:tr>
      <w:tr w:rsidR="008552AE" w14:paraId="5A10AAC7" w14:textId="77777777" w:rsidTr="008552AE">
        <w:tc>
          <w:tcPr>
            <w:tcW w:w="3005" w:type="dxa"/>
          </w:tcPr>
          <w:p w14:paraId="15864EE4" w14:textId="641BA453" w:rsidR="008552AE" w:rsidRDefault="008552AE">
            <w:r>
              <w:t>Education</w:t>
            </w:r>
          </w:p>
        </w:tc>
        <w:tc>
          <w:tcPr>
            <w:tcW w:w="3005" w:type="dxa"/>
          </w:tcPr>
          <w:p w14:paraId="5C8D3D72" w14:textId="206D10F3" w:rsidR="008552AE" w:rsidRDefault="00D027ED">
            <w:r>
              <w:t>Focus on TVETs</w:t>
            </w:r>
          </w:p>
        </w:tc>
        <w:tc>
          <w:tcPr>
            <w:tcW w:w="3006" w:type="dxa"/>
          </w:tcPr>
          <w:p w14:paraId="36133920" w14:textId="77777777" w:rsidR="008552AE" w:rsidRDefault="00D027ED" w:rsidP="00375873">
            <w:pPr>
              <w:pStyle w:val="ListParagraph"/>
              <w:numPr>
                <w:ilvl w:val="0"/>
                <w:numId w:val="5"/>
              </w:numPr>
            </w:pPr>
            <w:r>
              <w:t xml:space="preserve">Engage holistically with TVETs to ensure gendered training and placement. </w:t>
            </w:r>
          </w:p>
          <w:p w14:paraId="317B163B" w14:textId="1A8361E2" w:rsidR="00375873" w:rsidRDefault="00375873" w:rsidP="00375873">
            <w:pPr>
              <w:pStyle w:val="ListParagraph"/>
              <w:numPr>
                <w:ilvl w:val="0"/>
                <w:numId w:val="5"/>
              </w:numPr>
            </w:pPr>
            <w:r>
              <w:t>Engage with the proposed gender policy in draft form to ensure a gender analysis of the CIDP.</w:t>
            </w:r>
          </w:p>
        </w:tc>
      </w:tr>
      <w:tr w:rsidR="008552AE" w14:paraId="6C8616B4" w14:textId="77777777" w:rsidTr="008552AE">
        <w:tc>
          <w:tcPr>
            <w:tcW w:w="3005" w:type="dxa"/>
          </w:tcPr>
          <w:p w14:paraId="4C7469DC" w14:textId="619464F7" w:rsidR="008552AE" w:rsidRDefault="00C702AE">
            <w:r>
              <w:t>Trade</w:t>
            </w:r>
          </w:p>
        </w:tc>
        <w:tc>
          <w:tcPr>
            <w:tcW w:w="3005" w:type="dxa"/>
          </w:tcPr>
          <w:p w14:paraId="290E0766" w14:textId="0C3B4121" w:rsidR="008552AE" w:rsidRDefault="00C702AE">
            <w:r>
              <w:t>Special Economic Zones</w:t>
            </w:r>
          </w:p>
        </w:tc>
        <w:tc>
          <w:tcPr>
            <w:tcW w:w="3006" w:type="dxa"/>
          </w:tcPr>
          <w:p w14:paraId="6D9EDC33" w14:textId="34875909" w:rsidR="00D027ED" w:rsidRDefault="00C702AE" w:rsidP="00D027ED">
            <w:pPr>
              <w:pStyle w:val="ListParagraph"/>
              <w:numPr>
                <w:ilvl w:val="0"/>
                <w:numId w:val="3"/>
              </w:numPr>
              <w:jc w:val="both"/>
            </w:pPr>
            <w:r>
              <w:t xml:space="preserve">The lake region economic bloc alludes to exploiting the SDG agenda. </w:t>
            </w:r>
            <w:r w:rsidR="00D027ED">
              <w:t>Thus,</w:t>
            </w:r>
            <w:r>
              <w:t xml:space="preserve"> the technology must include the inference to </w:t>
            </w:r>
            <w:r w:rsidR="00D027ED">
              <w:t>spaces which women traders can exploit.</w:t>
            </w:r>
          </w:p>
          <w:p w14:paraId="19FC8BEB" w14:textId="546242F2" w:rsidR="00D027ED" w:rsidRDefault="00D027ED" w:rsidP="00D027ED">
            <w:pPr>
              <w:pStyle w:val="ListParagraph"/>
              <w:numPr>
                <w:ilvl w:val="0"/>
                <w:numId w:val="3"/>
              </w:numPr>
              <w:jc w:val="both"/>
            </w:pPr>
            <w:r>
              <w:t xml:space="preserve">The engagement of women in aquaculture through cage fishing, pond fishing and development of industrial parks key.  The spaces should enable the issues of gender, diversity and disability to be explicit. With the dwindling stock and wild catch, there is increased sexual exploitation of women and children along the beach.  Addressing this issue through investing in Finance to address GBV  and ensuring that the gender roles of each </w:t>
            </w:r>
            <w:r>
              <w:lastRenderedPageBreak/>
              <w:t xml:space="preserve">person at community level is critical. </w:t>
            </w:r>
          </w:p>
          <w:p w14:paraId="17C4627C" w14:textId="77777777" w:rsidR="00D027ED" w:rsidRDefault="00D027ED" w:rsidP="00D027ED">
            <w:pPr>
              <w:pStyle w:val="ListParagraph"/>
              <w:numPr>
                <w:ilvl w:val="0"/>
                <w:numId w:val="3"/>
              </w:numPr>
              <w:jc w:val="both"/>
            </w:pPr>
            <w:r>
              <w:t>Positioning the county to engage with impact investors interested in aquaculture whilst engaging on the conservation of the lake and the climate change issues.</w:t>
            </w:r>
          </w:p>
          <w:p w14:paraId="1A3E8BCE" w14:textId="6402FBFF" w:rsidR="00375873" w:rsidRDefault="00375873" w:rsidP="00D027ED">
            <w:pPr>
              <w:pStyle w:val="ListParagraph"/>
              <w:numPr>
                <w:ilvl w:val="0"/>
                <w:numId w:val="3"/>
              </w:numPr>
              <w:jc w:val="both"/>
            </w:pPr>
            <w:r>
              <w:t>Engage with the proposed gender policy in draft form to ensure a gender analysis of the CIDP.</w:t>
            </w:r>
          </w:p>
        </w:tc>
      </w:tr>
      <w:tr w:rsidR="008552AE" w14:paraId="368BE73B" w14:textId="77777777" w:rsidTr="008552AE">
        <w:tc>
          <w:tcPr>
            <w:tcW w:w="3005" w:type="dxa"/>
          </w:tcPr>
          <w:p w14:paraId="6F21F26C" w14:textId="1A43B651" w:rsidR="008552AE" w:rsidRDefault="009E4E66">
            <w:r>
              <w:lastRenderedPageBreak/>
              <w:t>Environment and Climate Change</w:t>
            </w:r>
          </w:p>
        </w:tc>
        <w:tc>
          <w:tcPr>
            <w:tcW w:w="3005" w:type="dxa"/>
          </w:tcPr>
          <w:p w14:paraId="045DFCF8" w14:textId="43A9AD0A" w:rsidR="008552AE" w:rsidRDefault="009E4E66">
            <w:r>
              <w:t>Climate change and gender justice</w:t>
            </w:r>
          </w:p>
        </w:tc>
        <w:tc>
          <w:tcPr>
            <w:tcW w:w="3006" w:type="dxa"/>
          </w:tcPr>
          <w:p w14:paraId="19A3B2B8" w14:textId="0690F4B7" w:rsidR="009E4E66" w:rsidRPr="00375873" w:rsidRDefault="009E4E66" w:rsidP="00375873">
            <w:pPr>
              <w:pStyle w:val="ListParagraph"/>
              <w:numPr>
                <w:ilvl w:val="0"/>
                <w:numId w:val="6"/>
              </w:numPr>
              <w:jc w:val="both"/>
            </w:pPr>
            <w:r w:rsidRPr="00375873">
              <w:rPr>
                <w:lang w:val="en-US"/>
              </w:rPr>
              <w:t>The region is currently dealing with the lack of planning to protect the current water sources and thus the effects drought and flooding with decimates the communities perennially. The minimal budgets allocated for development expenditure means continuous exposure by communities to the vagarities of weather.</w:t>
            </w:r>
          </w:p>
          <w:p w14:paraId="0208CCBA" w14:textId="26A2B08C" w:rsidR="00375873" w:rsidRPr="009E4E66" w:rsidRDefault="00375873" w:rsidP="00375873">
            <w:pPr>
              <w:pStyle w:val="ListParagraph"/>
              <w:numPr>
                <w:ilvl w:val="0"/>
                <w:numId w:val="6"/>
              </w:numPr>
              <w:jc w:val="both"/>
            </w:pPr>
            <w:r>
              <w:t>Engage with the proposed gender policy in draft form to ensure a gender analysis of the CIDP.</w:t>
            </w:r>
          </w:p>
          <w:p w14:paraId="24BE6095" w14:textId="77777777" w:rsidR="008552AE" w:rsidRDefault="008552AE" w:rsidP="009E4E66">
            <w:pPr>
              <w:jc w:val="both"/>
            </w:pPr>
          </w:p>
        </w:tc>
      </w:tr>
      <w:tr w:rsidR="00375873" w14:paraId="1A778C66" w14:textId="77777777" w:rsidTr="00686A14">
        <w:tc>
          <w:tcPr>
            <w:tcW w:w="9016" w:type="dxa"/>
            <w:gridSpan w:val="3"/>
          </w:tcPr>
          <w:p w14:paraId="4C1D489D" w14:textId="3C8676C2" w:rsidR="00375873" w:rsidRDefault="00375873">
            <w:r>
              <w:t>Engage on implementing the gender policy through the gender mainstreaming committee proposed at the Executive Level and engage with Gender Committee at the Assembly to ensure gender is prioritized.</w:t>
            </w:r>
          </w:p>
        </w:tc>
      </w:tr>
    </w:tbl>
    <w:p w14:paraId="0E0D9AB6" w14:textId="15F2C8FA" w:rsidR="008552AE" w:rsidRDefault="008552AE"/>
    <w:p w14:paraId="2A41935B" w14:textId="7364E990" w:rsidR="00B152DB" w:rsidRDefault="00B152DB"/>
    <w:sectPr w:rsidR="00B152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172E3"/>
    <w:multiLevelType w:val="hybridMultilevel"/>
    <w:tmpl w:val="967A75D0"/>
    <w:lvl w:ilvl="0" w:tplc="303CE54C">
      <w:start w:val="1"/>
      <w:numFmt w:val="bullet"/>
      <w:lvlText w:val="•"/>
      <w:lvlJc w:val="left"/>
      <w:pPr>
        <w:tabs>
          <w:tab w:val="num" w:pos="720"/>
        </w:tabs>
        <w:ind w:left="720" w:hanging="360"/>
      </w:pPr>
      <w:rPr>
        <w:rFonts w:ascii="Arial" w:hAnsi="Arial" w:hint="default"/>
      </w:rPr>
    </w:lvl>
    <w:lvl w:ilvl="1" w:tplc="59548902" w:tentative="1">
      <w:start w:val="1"/>
      <w:numFmt w:val="bullet"/>
      <w:lvlText w:val="•"/>
      <w:lvlJc w:val="left"/>
      <w:pPr>
        <w:tabs>
          <w:tab w:val="num" w:pos="1440"/>
        </w:tabs>
        <w:ind w:left="1440" w:hanging="360"/>
      </w:pPr>
      <w:rPr>
        <w:rFonts w:ascii="Arial" w:hAnsi="Arial" w:hint="default"/>
      </w:rPr>
    </w:lvl>
    <w:lvl w:ilvl="2" w:tplc="9D8EC8D6" w:tentative="1">
      <w:start w:val="1"/>
      <w:numFmt w:val="bullet"/>
      <w:lvlText w:val="•"/>
      <w:lvlJc w:val="left"/>
      <w:pPr>
        <w:tabs>
          <w:tab w:val="num" w:pos="2160"/>
        </w:tabs>
        <w:ind w:left="2160" w:hanging="360"/>
      </w:pPr>
      <w:rPr>
        <w:rFonts w:ascii="Arial" w:hAnsi="Arial" w:hint="default"/>
      </w:rPr>
    </w:lvl>
    <w:lvl w:ilvl="3" w:tplc="5B7C2230" w:tentative="1">
      <w:start w:val="1"/>
      <w:numFmt w:val="bullet"/>
      <w:lvlText w:val="•"/>
      <w:lvlJc w:val="left"/>
      <w:pPr>
        <w:tabs>
          <w:tab w:val="num" w:pos="2880"/>
        </w:tabs>
        <w:ind w:left="2880" w:hanging="360"/>
      </w:pPr>
      <w:rPr>
        <w:rFonts w:ascii="Arial" w:hAnsi="Arial" w:hint="default"/>
      </w:rPr>
    </w:lvl>
    <w:lvl w:ilvl="4" w:tplc="EFDA3444" w:tentative="1">
      <w:start w:val="1"/>
      <w:numFmt w:val="bullet"/>
      <w:lvlText w:val="•"/>
      <w:lvlJc w:val="left"/>
      <w:pPr>
        <w:tabs>
          <w:tab w:val="num" w:pos="3600"/>
        </w:tabs>
        <w:ind w:left="3600" w:hanging="360"/>
      </w:pPr>
      <w:rPr>
        <w:rFonts w:ascii="Arial" w:hAnsi="Arial" w:hint="default"/>
      </w:rPr>
    </w:lvl>
    <w:lvl w:ilvl="5" w:tplc="A3B4B7CE" w:tentative="1">
      <w:start w:val="1"/>
      <w:numFmt w:val="bullet"/>
      <w:lvlText w:val="•"/>
      <w:lvlJc w:val="left"/>
      <w:pPr>
        <w:tabs>
          <w:tab w:val="num" w:pos="4320"/>
        </w:tabs>
        <w:ind w:left="4320" w:hanging="360"/>
      </w:pPr>
      <w:rPr>
        <w:rFonts w:ascii="Arial" w:hAnsi="Arial" w:hint="default"/>
      </w:rPr>
    </w:lvl>
    <w:lvl w:ilvl="6" w:tplc="FDDC7F08" w:tentative="1">
      <w:start w:val="1"/>
      <w:numFmt w:val="bullet"/>
      <w:lvlText w:val="•"/>
      <w:lvlJc w:val="left"/>
      <w:pPr>
        <w:tabs>
          <w:tab w:val="num" w:pos="5040"/>
        </w:tabs>
        <w:ind w:left="5040" w:hanging="360"/>
      </w:pPr>
      <w:rPr>
        <w:rFonts w:ascii="Arial" w:hAnsi="Arial" w:hint="default"/>
      </w:rPr>
    </w:lvl>
    <w:lvl w:ilvl="7" w:tplc="DA2C8A82" w:tentative="1">
      <w:start w:val="1"/>
      <w:numFmt w:val="bullet"/>
      <w:lvlText w:val="•"/>
      <w:lvlJc w:val="left"/>
      <w:pPr>
        <w:tabs>
          <w:tab w:val="num" w:pos="5760"/>
        </w:tabs>
        <w:ind w:left="5760" w:hanging="360"/>
      </w:pPr>
      <w:rPr>
        <w:rFonts w:ascii="Arial" w:hAnsi="Arial" w:hint="default"/>
      </w:rPr>
    </w:lvl>
    <w:lvl w:ilvl="8" w:tplc="1996E9D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BE91AE9"/>
    <w:multiLevelType w:val="hybridMultilevel"/>
    <w:tmpl w:val="829AD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F912483"/>
    <w:multiLevelType w:val="hybridMultilevel"/>
    <w:tmpl w:val="F6862A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83D687F"/>
    <w:multiLevelType w:val="hybridMultilevel"/>
    <w:tmpl w:val="16725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18912D3"/>
    <w:multiLevelType w:val="hybridMultilevel"/>
    <w:tmpl w:val="D200C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715255B"/>
    <w:multiLevelType w:val="hybridMultilevel"/>
    <w:tmpl w:val="90860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2AE"/>
    <w:rsid w:val="00375873"/>
    <w:rsid w:val="004F4F40"/>
    <w:rsid w:val="008443FD"/>
    <w:rsid w:val="008552AE"/>
    <w:rsid w:val="009E4E66"/>
    <w:rsid w:val="00B152DB"/>
    <w:rsid w:val="00C702AE"/>
    <w:rsid w:val="00D02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59FD6"/>
  <w15:chartTrackingRefBased/>
  <w15:docId w15:val="{72A1D391-F1B3-4223-8567-2EE9DA0EF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5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4F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1173209">
      <w:bodyDiv w:val="1"/>
      <w:marLeft w:val="0"/>
      <w:marRight w:val="0"/>
      <w:marTop w:val="0"/>
      <w:marBottom w:val="0"/>
      <w:divBdr>
        <w:top w:val="none" w:sz="0" w:space="0" w:color="auto"/>
        <w:left w:val="none" w:sz="0" w:space="0" w:color="auto"/>
        <w:bottom w:val="none" w:sz="0" w:space="0" w:color="auto"/>
        <w:right w:val="none" w:sz="0" w:space="0" w:color="auto"/>
      </w:divBdr>
    </w:div>
    <w:div w:id="1846676103">
      <w:bodyDiv w:val="1"/>
      <w:marLeft w:val="0"/>
      <w:marRight w:val="0"/>
      <w:marTop w:val="0"/>
      <w:marBottom w:val="0"/>
      <w:divBdr>
        <w:top w:val="none" w:sz="0" w:space="0" w:color="auto"/>
        <w:left w:val="none" w:sz="0" w:space="0" w:color="auto"/>
        <w:bottom w:val="none" w:sz="0" w:space="0" w:color="auto"/>
        <w:right w:val="none" w:sz="0" w:space="0" w:color="auto"/>
      </w:divBdr>
      <w:divsChild>
        <w:div w:id="1141774288">
          <w:marLeft w:val="360"/>
          <w:marRight w:val="0"/>
          <w:marTop w:val="200"/>
          <w:marBottom w:val="0"/>
          <w:divBdr>
            <w:top w:val="none" w:sz="0" w:space="0" w:color="auto"/>
            <w:left w:val="none" w:sz="0" w:space="0" w:color="auto"/>
            <w:bottom w:val="none" w:sz="0" w:space="0" w:color="auto"/>
            <w:right w:val="none" w:sz="0" w:space="0" w:color="auto"/>
          </w:divBdr>
        </w:div>
        <w:div w:id="467166843">
          <w:marLeft w:val="360"/>
          <w:marRight w:val="0"/>
          <w:marTop w:val="200"/>
          <w:marBottom w:val="0"/>
          <w:divBdr>
            <w:top w:val="none" w:sz="0" w:space="0" w:color="auto"/>
            <w:left w:val="none" w:sz="0" w:space="0" w:color="auto"/>
            <w:bottom w:val="none" w:sz="0" w:space="0" w:color="auto"/>
            <w:right w:val="none" w:sz="0" w:space="0" w:color="auto"/>
          </w:divBdr>
        </w:div>
        <w:div w:id="769815671">
          <w:marLeft w:val="360"/>
          <w:marRight w:val="0"/>
          <w:marTop w:val="200"/>
          <w:marBottom w:val="0"/>
          <w:divBdr>
            <w:top w:val="none" w:sz="0" w:space="0" w:color="auto"/>
            <w:left w:val="none" w:sz="0" w:space="0" w:color="auto"/>
            <w:bottom w:val="none" w:sz="0" w:space="0" w:color="auto"/>
            <w:right w:val="none" w:sz="0" w:space="0" w:color="auto"/>
          </w:divBdr>
        </w:div>
        <w:div w:id="34278408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Kefeado</dc:creator>
  <cp:keywords/>
  <dc:description/>
  <cp:lastModifiedBy>Kefeado</cp:lastModifiedBy>
  <cp:revision>5</cp:revision>
  <dcterms:created xsi:type="dcterms:W3CDTF">2020-07-30T07:51:00Z</dcterms:created>
  <dcterms:modified xsi:type="dcterms:W3CDTF">2020-07-30T08:50:00Z</dcterms:modified>
</cp:coreProperties>
</file>